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7FAC2" w14:textId="051F86FA" w:rsidR="0081668D" w:rsidRDefault="008C04CC" w:rsidP="00B216E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8C04CC">
        <w:rPr>
          <w:rFonts w:ascii="Bookman Old Style" w:hAnsi="Bookman Old Style"/>
          <w:b/>
          <w:bCs/>
          <w:sz w:val="28"/>
          <w:szCs w:val="28"/>
        </w:rPr>
        <w:t xml:space="preserve">Środki dezynfekcyjne do stosowania w </w:t>
      </w:r>
      <w:proofErr w:type="spellStart"/>
      <w:r w:rsidRPr="008C04CC">
        <w:rPr>
          <w:rFonts w:ascii="Bookman Old Style" w:hAnsi="Bookman Old Style"/>
          <w:b/>
          <w:bCs/>
          <w:sz w:val="28"/>
          <w:szCs w:val="28"/>
        </w:rPr>
        <w:t>bioasekuracji</w:t>
      </w:r>
      <w:proofErr w:type="spellEnd"/>
      <w:r w:rsidR="005B5F4F">
        <w:rPr>
          <w:rFonts w:ascii="Bookman Old Style" w:hAnsi="Bookman Old Style"/>
          <w:b/>
          <w:bCs/>
          <w:sz w:val="28"/>
          <w:szCs w:val="28"/>
        </w:rPr>
        <w:t xml:space="preserve"> gospodarstw</w:t>
      </w:r>
    </w:p>
    <w:p w14:paraId="1BDAB063" w14:textId="77777777" w:rsidR="008C04CC" w:rsidRPr="008C04CC" w:rsidRDefault="008C04CC" w:rsidP="00B216E4">
      <w:pPr>
        <w:jc w:val="both"/>
        <w:rPr>
          <w:rFonts w:ascii="Bookman Old Style" w:hAnsi="Bookman Old Style"/>
          <w:sz w:val="28"/>
          <w:szCs w:val="28"/>
        </w:rPr>
      </w:pPr>
    </w:p>
    <w:p w14:paraId="2CB13A61" w14:textId="11E3C2EE" w:rsidR="008C04CC" w:rsidRPr="008C04CC" w:rsidRDefault="005B5F4F" w:rsidP="00B216E4">
      <w:pPr>
        <w:jc w:val="both"/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</w:pPr>
      <w:r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>W</w:t>
      </w:r>
      <w:r w:rsidR="004A2781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>ybierając</w:t>
      </w:r>
      <w:r w:rsidR="008C04CC" w:rsidRPr="008C04CC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 xml:space="preserve"> </w:t>
      </w:r>
      <w:r w:rsidR="00F17262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 xml:space="preserve">skuteczny </w:t>
      </w:r>
      <w:r w:rsidR="008C04CC" w:rsidRPr="008C04CC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>środ</w:t>
      </w:r>
      <w:r w:rsidR="004A2781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>ek</w:t>
      </w:r>
      <w:r w:rsidR="008C04CC" w:rsidRPr="008C04CC">
        <w:rPr>
          <w:rStyle w:val="Pogrubienie"/>
          <w:rFonts w:ascii="montserrat-regular" w:hAnsi="montserrat-regular"/>
          <w:b w:val="0"/>
          <w:bCs w:val="0"/>
          <w:color w:val="000000"/>
          <w:sz w:val="20"/>
          <w:szCs w:val="20"/>
          <w:shd w:val="clear" w:color="auto" w:fill="FFFFFF"/>
        </w:rPr>
        <w:t xml:space="preserve"> do dezynfekcji należy zwrócić uwagę na:</w:t>
      </w:r>
    </w:p>
    <w:p w14:paraId="7B252985" w14:textId="77777777" w:rsidR="008C04CC" w:rsidRDefault="008C04CC" w:rsidP="00B216E4">
      <w:pPr>
        <w:jc w:val="both"/>
        <w:rPr>
          <w:rStyle w:val="Pogrubienie"/>
          <w:rFonts w:ascii="montserrat-regular" w:hAnsi="montserrat-regular"/>
          <w:color w:val="000000"/>
          <w:sz w:val="20"/>
          <w:szCs w:val="20"/>
          <w:shd w:val="clear" w:color="auto" w:fill="FFFFFF"/>
        </w:rPr>
      </w:pPr>
    </w:p>
    <w:p w14:paraId="73B8A7E7" w14:textId="50E670D5" w:rsidR="008C04CC" w:rsidRPr="008C04CC" w:rsidRDefault="008C04CC" w:rsidP="00B216E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Spektrum działania </w:t>
      </w:r>
      <w:r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środka dezynfekcyjnego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: produkt powinien wykazywać </w:t>
      </w:r>
      <w:r w:rsidRPr="008C04CC">
        <w:rPr>
          <w:rFonts w:ascii="montserrat-regular" w:eastAsia="Times New Roman" w:hAnsi="montserrat-regular" w:cs="Times New Roman"/>
          <w:kern w:val="0"/>
          <w:sz w:val="20"/>
          <w:szCs w:val="20"/>
          <w:lang w:eastAsia="pl-PL"/>
          <w14:ligatures w14:val="none"/>
        </w:rPr>
        <w:t>działanie wirusobójcze;</w:t>
      </w:r>
    </w:p>
    <w:p w14:paraId="0E0E4A66" w14:textId="05BB1C7D" w:rsidR="008C04CC" w:rsidRPr="008C04CC" w:rsidRDefault="008C04CC" w:rsidP="00B216E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Zakres temperatur - środek dezynfekcyjny powinien być skuteczny zarówno</w:t>
      </w:r>
      <w:r w:rsidR="00B216E4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w wysokiej, jak i niskiej temperaturze w budynku;</w:t>
      </w:r>
    </w:p>
    <w:p w14:paraId="5548D9BC" w14:textId="5B5F484A" w:rsidR="008C04CC" w:rsidRPr="008C04CC" w:rsidRDefault="008C04CC" w:rsidP="00B216E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Bezpieczeństwo działania środka dezynfekującego: produkt powinien być biodegradowalny, nie wymagający spłukiwania, nie powinien korodować</w:t>
      </w:r>
      <w:r w:rsidR="00B216E4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="00F17262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elementów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wyposażenia;</w:t>
      </w:r>
    </w:p>
    <w:p w14:paraId="66D5E15A" w14:textId="0EC6EF86" w:rsidR="008C04CC" w:rsidRPr="008C04CC" w:rsidRDefault="008C04CC" w:rsidP="00B216E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Zakres stosowania: produkt powinien służyć do dezynfekcji budynków, wyposażenia, ziemi wokół budynku, samochodów, obuwia, mat dezynfekcyjnych </w:t>
      </w:r>
      <w:r w:rsidR="00B216E4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i basenów przejazdowych.</w:t>
      </w:r>
    </w:p>
    <w:p w14:paraId="363334A7" w14:textId="77777777" w:rsidR="008C04CC" w:rsidRPr="008C04CC" w:rsidRDefault="008C04CC" w:rsidP="00B216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6577C747" w14:textId="77777777" w:rsidR="008C04CC" w:rsidRPr="008C04CC" w:rsidRDefault="008C04CC" w:rsidP="00B216E4">
      <w:pPr>
        <w:shd w:val="clear" w:color="auto" w:fill="FFFFFF"/>
        <w:spacing w:beforeAutospacing="1" w:after="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Dezynfekcję obiektów inwentarskich należy przeprowadzać w systemie pomieszczenie puste-pełne oraz dbać o codzienne rutynowe działania jak dezynfekcja rąk, obuwia, pojazdów itd.</w:t>
      </w:r>
    </w:p>
    <w:p w14:paraId="3F24DC1D" w14:textId="77777777" w:rsidR="008C04CC" w:rsidRPr="008C04CC" w:rsidRDefault="008C04CC" w:rsidP="00B216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041D1EE7" w14:textId="77777777" w:rsidR="008C04CC" w:rsidRPr="008C04CC" w:rsidRDefault="008C04CC" w:rsidP="00B216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W przypadku konieczności zachowania szczególnych środków ostrożności przy stosowaniu produktu biobójczego, w celu zapewnienia bezpieczeństwa osób je stosujących, zwierząt przybywających w pomieszczeniach, w których produkty stosowano a także środowiska (wody, gleby) właściwym jest nawiązanie kontaktu z profesjonalną firmą prowadzącą dezynfekcję.</w:t>
      </w:r>
    </w:p>
    <w:p w14:paraId="6C3739A4" w14:textId="77777777" w:rsidR="008C04CC" w:rsidRPr="008C04CC" w:rsidRDefault="008C04CC" w:rsidP="00B216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1DAB2B7C" w14:textId="77777777" w:rsidR="008C04CC" w:rsidRPr="008C04CC" w:rsidRDefault="008C04CC" w:rsidP="00B216E4">
      <w:pPr>
        <w:shd w:val="clear" w:color="auto" w:fill="FFFFFF"/>
        <w:spacing w:beforeAutospacing="1" w:after="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WYKAZ PRODUKTÓW BIOBÓJCZYCH ZNAJDUJE SIĘ NA STRONIE URZĘDU REJESTRACJI PRODUKTÓW LECZNICZYCH, WYROBÓW MEDYCZNYCH I PRODUKTÓW BIOBÓJCZYCH ORAZ W BIULETYNIE INFORMACJI PUBLICZNEJ POD ADRESEM:</w:t>
      </w:r>
    </w:p>
    <w:p w14:paraId="5DB89EA8" w14:textId="0A01B360" w:rsidR="008C04CC" w:rsidRPr="008175CE" w:rsidRDefault="005B5F4F" w:rsidP="00B216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b/>
          <w:bCs/>
          <w:color w:val="00B050"/>
          <w:kern w:val="0"/>
          <w:sz w:val="20"/>
          <w:szCs w:val="20"/>
          <w:lang w:eastAsia="pl-PL"/>
          <w14:ligatures w14:val="none"/>
        </w:rPr>
      </w:pPr>
      <w:r w:rsidRPr="005B5F4F">
        <w:rPr>
          <w:rFonts w:ascii="montserrat-regular" w:eastAsia="Times New Roman" w:hAnsi="montserrat-regular" w:cs="Times New Roman"/>
          <w:b/>
          <w:bCs/>
          <w:color w:val="00B050"/>
          <w:kern w:val="0"/>
          <w:sz w:val="20"/>
          <w:szCs w:val="20"/>
          <w:lang w:eastAsia="pl-PL"/>
          <w14:ligatures w14:val="none"/>
        </w:rPr>
        <w:t xml:space="preserve">            </w:t>
      </w:r>
      <w:r w:rsidRPr="008175CE">
        <w:rPr>
          <w:rFonts w:ascii="montserrat-regular" w:eastAsia="Times New Roman" w:hAnsi="montserrat-regular" w:cs="Times New Roman"/>
          <w:b/>
          <w:bCs/>
          <w:color w:val="00B050"/>
          <w:kern w:val="0"/>
          <w:sz w:val="20"/>
          <w:szCs w:val="20"/>
          <w:lang w:eastAsia="pl-PL"/>
          <w14:ligatures w14:val="none"/>
        </w:rPr>
        <w:t xml:space="preserve">   </w:t>
      </w:r>
      <w:r w:rsidR="008C04CC" w:rsidRPr="008175CE">
        <w:rPr>
          <w:rFonts w:ascii="montserrat-regular" w:eastAsia="Times New Roman" w:hAnsi="montserrat-regular" w:cs="Times New Roman"/>
          <w:b/>
          <w:bCs/>
          <w:color w:val="00B050"/>
          <w:kern w:val="0"/>
          <w:sz w:val="20"/>
          <w:szCs w:val="20"/>
          <w:lang w:eastAsia="pl-PL"/>
          <w14:ligatures w14:val="none"/>
        </w:rPr>
        <w:t> </w:t>
      </w:r>
      <w:hyperlink r:id="rId5" w:history="1">
        <w:r w:rsidR="008175CE" w:rsidRPr="008175CE">
          <w:rPr>
            <w:rStyle w:val="Hipercze"/>
            <w:rFonts w:ascii="montserrat-regular" w:eastAsia="Times New Roman" w:hAnsi="montserrat-regular" w:cs="Times New Roman"/>
            <w:b/>
            <w:bCs/>
            <w:color w:val="00B050"/>
            <w:kern w:val="0"/>
            <w:sz w:val="20"/>
            <w:szCs w:val="20"/>
            <w:lang w:eastAsia="pl-PL"/>
            <w14:ligatures w14:val="none"/>
          </w:rPr>
          <w:t>https://www.gov.p</w:t>
        </w:r>
        <w:r w:rsidR="008175CE" w:rsidRPr="008175CE">
          <w:rPr>
            <w:rStyle w:val="Hipercze"/>
            <w:rFonts w:ascii="montserrat-regular" w:eastAsia="Times New Roman" w:hAnsi="montserrat-regular" w:cs="Times New Roman"/>
            <w:b/>
            <w:bCs/>
            <w:color w:val="00B050"/>
            <w:kern w:val="0"/>
            <w:sz w:val="20"/>
            <w:szCs w:val="20"/>
            <w:lang w:eastAsia="pl-PL"/>
            <w14:ligatures w14:val="none"/>
          </w:rPr>
          <w:t>l</w:t>
        </w:r>
        <w:r w:rsidR="008175CE" w:rsidRPr="008175CE">
          <w:rPr>
            <w:rStyle w:val="Hipercze"/>
            <w:rFonts w:ascii="montserrat-regular" w:eastAsia="Times New Roman" w:hAnsi="montserrat-regular" w:cs="Times New Roman"/>
            <w:b/>
            <w:bCs/>
            <w:color w:val="00B050"/>
            <w:kern w:val="0"/>
            <w:sz w:val="20"/>
            <w:szCs w:val="20"/>
            <w:lang w:eastAsia="pl-PL"/>
            <w14:ligatures w14:val="none"/>
          </w:rPr>
          <w:t>/web/urpl/wykaz-produktow-biobojczych2</w:t>
        </w:r>
      </w:hyperlink>
    </w:p>
    <w:p w14:paraId="0EAB683A" w14:textId="77777777" w:rsidR="008C04CC" w:rsidRPr="008C04CC" w:rsidRDefault="008C04CC" w:rsidP="00B216E4">
      <w:pPr>
        <w:shd w:val="clear" w:color="auto" w:fill="FFFFFF"/>
        <w:spacing w:beforeAutospacing="1" w:after="0" w:afterAutospacing="1" w:line="240" w:lineRule="auto"/>
        <w:jc w:val="both"/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Każdorazowo przed dokonaniem wyboru produktu biobójczego do celów dezynfekcyjnych należy upewnić się, że dany preparat wykazuje </w:t>
      </w:r>
      <w:r w:rsidRPr="008C04CC">
        <w:rPr>
          <w:rFonts w:ascii="montserrat-regular" w:eastAsia="Times New Roman" w:hAnsi="montserrat-regular" w:cs="Times New Roman"/>
          <w:b/>
          <w:bCs/>
          <w:color w:val="FF0000"/>
          <w:kern w:val="0"/>
          <w:sz w:val="20"/>
          <w:szCs w:val="20"/>
          <w:u w:val="single"/>
          <w:lang w:eastAsia="pl-PL"/>
          <w14:ligatures w14:val="none"/>
        </w:rPr>
        <w:t>działanie wirusobójcze</w:t>
      </w:r>
      <w:r w:rsidRPr="008C04CC">
        <w:rPr>
          <w:rFonts w:ascii="montserrat-regular" w:eastAsia="Times New Roman" w:hAnsi="montserrat-regular" w:cs="Times New Roman"/>
          <w:b/>
          <w:bCs/>
          <w:color w:val="FF0000"/>
          <w:kern w:val="0"/>
          <w:sz w:val="20"/>
          <w:szCs w:val="20"/>
          <w:lang w:eastAsia="pl-PL"/>
          <w14:ligatures w14:val="none"/>
        </w:rPr>
        <w:t>.</w:t>
      </w:r>
      <w:r w:rsidRPr="008C04CC">
        <w:rPr>
          <w:rFonts w:ascii="montserrat-regular" w:eastAsia="Times New Roman" w:hAnsi="montserrat-regular" w:cs="Times New Roman"/>
          <w:color w:val="FF0000"/>
          <w:kern w:val="0"/>
          <w:sz w:val="20"/>
          <w:szCs w:val="20"/>
          <w:lang w:eastAsia="pl-PL"/>
          <w14:ligatures w14:val="none"/>
        </w:rPr>
        <w:t xml:space="preserve"> </w:t>
      </w:r>
      <w:r w:rsidRPr="008C04CC">
        <w:rPr>
          <w:rFonts w:ascii="montserrat-regular" w:eastAsia="Times New Roman" w:hAnsi="montserrat-regular" w:cs="Times New Roman"/>
          <w:color w:val="000000"/>
          <w:kern w:val="0"/>
          <w:sz w:val="20"/>
          <w:szCs w:val="20"/>
          <w:lang w:eastAsia="pl-PL"/>
          <w14:ligatures w14:val="none"/>
        </w:rPr>
        <w:t>Informacja ta zawarta jest w ulotce produktu biobójczego lub w materiałach informacyjnych towarzyszących danemu produktowi. Produkty biobójcze należy stosować ściśle według wskazań producenta.</w:t>
      </w:r>
    </w:p>
    <w:p w14:paraId="0D8781F7" w14:textId="77777777" w:rsidR="008C04CC" w:rsidRDefault="008C04CC" w:rsidP="008C04CC">
      <w:pPr>
        <w:rPr>
          <w:rFonts w:ascii="Bookman Old Style" w:hAnsi="Bookman Old Style"/>
          <w:sz w:val="28"/>
          <w:szCs w:val="28"/>
        </w:rPr>
      </w:pPr>
    </w:p>
    <w:p w14:paraId="1E13398F" w14:textId="3EFFA55F" w:rsidR="005B5F4F" w:rsidRPr="005B5F4F" w:rsidRDefault="005B5F4F" w:rsidP="005B5F4F">
      <w:pPr>
        <w:tabs>
          <w:tab w:val="left" w:pos="1245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ab/>
      </w:r>
    </w:p>
    <w:sectPr w:rsidR="005B5F4F" w:rsidRPr="005B5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tserrat-regular">
    <w:altName w:val="Montserrat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EE5202"/>
    <w:multiLevelType w:val="multilevel"/>
    <w:tmpl w:val="BC221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6E45E3"/>
    <w:multiLevelType w:val="multilevel"/>
    <w:tmpl w:val="A858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9673731">
    <w:abstractNumId w:val="0"/>
  </w:num>
  <w:num w:numId="2" w16cid:durableId="38752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CC"/>
    <w:rsid w:val="001F5554"/>
    <w:rsid w:val="002B6AAC"/>
    <w:rsid w:val="004A2781"/>
    <w:rsid w:val="005B5F4F"/>
    <w:rsid w:val="0081668D"/>
    <w:rsid w:val="008175CE"/>
    <w:rsid w:val="008C04CC"/>
    <w:rsid w:val="00B216E4"/>
    <w:rsid w:val="00F1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FE2C"/>
  <w15:chartTrackingRefBased/>
  <w15:docId w15:val="{7E696CBE-1441-46CF-BBD2-A641C037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0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0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4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4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4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04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4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4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4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4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4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4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4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0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4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04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4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4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4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04CC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8C04CC"/>
    <w:rPr>
      <w:b/>
      <w:bCs/>
    </w:rPr>
  </w:style>
  <w:style w:type="character" w:styleId="Hipercze">
    <w:name w:val="Hyperlink"/>
    <w:basedOn w:val="Domylnaczcionkaakapitu"/>
    <w:uiPriority w:val="99"/>
    <w:unhideWhenUsed/>
    <w:rsid w:val="008175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75C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172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8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5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rpl/wykaz-produktow-biobojczych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Inspekcja Weterynaryjna</cp:lastModifiedBy>
  <cp:revision>3</cp:revision>
  <dcterms:created xsi:type="dcterms:W3CDTF">2024-11-08T09:10:00Z</dcterms:created>
  <dcterms:modified xsi:type="dcterms:W3CDTF">2024-11-08T10:03:00Z</dcterms:modified>
</cp:coreProperties>
</file>